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450EC1" w:rsidTr="009C1779">
        <w:trPr>
          <w:trHeight w:val="633"/>
        </w:trPr>
        <w:tc>
          <w:tcPr>
            <w:tcW w:w="3969" w:type="dxa"/>
            <w:shd w:val="clear" w:color="auto" w:fill="E7E6E6" w:themeFill="background2"/>
            <w:tcMar>
              <w:left w:w="103" w:type="dxa"/>
            </w:tcMar>
            <w:vAlign w:val="center"/>
          </w:tcPr>
          <w:p w:rsidR="00450EC1" w:rsidRPr="00A826DF" w:rsidRDefault="00450EC1" w:rsidP="009C1779">
            <w:pPr>
              <w:spacing w:before="120"/>
              <w:rPr>
                <w:b/>
                <w:sz w:val="24"/>
                <w:szCs w:val="24"/>
              </w:rPr>
            </w:pPr>
            <w:r w:rsidRPr="00A826DF">
              <w:rPr>
                <w:b/>
                <w:sz w:val="24"/>
                <w:szCs w:val="24"/>
              </w:rPr>
              <w:t xml:space="preserve">NÁZEV </w:t>
            </w:r>
            <w:r w:rsidR="00A826DF">
              <w:rPr>
                <w:b/>
                <w:sz w:val="24"/>
                <w:szCs w:val="24"/>
              </w:rPr>
              <w:t xml:space="preserve">NÁVRHU </w:t>
            </w:r>
            <w:r w:rsidRPr="00A826DF">
              <w:rPr>
                <w:b/>
                <w:sz w:val="24"/>
                <w:szCs w:val="24"/>
              </w:rPr>
              <w:t>PROJEKTU</w:t>
            </w:r>
          </w:p>
          <w:p w:rsidR="00450EC1" w:rsidRDefault="00450EC1" w:rsidP="009C1779">
            <w:pPr>
              <w:spacing w:before="120"/>
            </w:pPr>
          </w:p>
        </w:tc>
        <w:tc>
          <w:tcPr>
            <w:tcW w:w="5353" w:type="dxa"/>
            <w:shd w:val="clear" w:color="auto" w:fill="FFFFFF" w:themeFill="background1"/>
            <w:tcMar>
              <w:left w:w="103" w:type="dxa"/>
            </w:tcMar>
            <w:vAlign w:val="center"/>
          </w:tcPr>
          <w:p w:rsidR="00450EC1" w:rsidRDefault="009A27D7" w:rsidP="008D2392">
            <w:pPr>
              <w:jc w:val="center"/>
              <w:rPr>
                <w:b/>
              </w:rPr>
            </w:pPr>
            <w:r>
              <w:rPr>
                <w:b/>
              </w:rPr>
              <w:t>S</w:t>
            </w:r>
            <w:r w:rsidR="002A5E4B">
              <w:rPr>
                <w:b/>
              </w:rPr>
              <w:t>pojka cyklostezky a cyklotrasy mezi Bandou a Kamencovým jezerem</w:t>
            </w:r>
            <w:bookmarkStart w:id="0" w:name="_GoBack"/>
            <w:bookmarkEnd w:id="0"/>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vAlign w:val="center"/>
          </w:tcPr>
          <w:p w:rsidR="009A27D7" w:rsidRPr="000D78E0" w:rsidRDefault="008A537C" w:rsidP="008E50DF">
            <w:pPr>
              <w:autoSpaceDE w:val="0"/>
              <w:autoSpaceDN w:val="0"/>
              <w:adjustRightInd w:val="0"/>
              <w:rPr>
                <w:sz w:val="18"/>
                <w:szCs w:val="18"/>
              </w:rPr>
            </w:pPr>
            <w:r w:rsidRPr="000D78E0">
              <w:rPr>
                <w:sz w:val="18"/>
                <w:szCs w:val="18"/>
              </w:rPr>
              <w:t>V</w:t>
            </w:r>
            <w:r w:rsidR="009A27D7" w:rsidRPr="000D78E0">
              <w:rPr>
                <w:sz w:val="18"/>
                <w:szCs w:val="18"/>
              </w:rPr>
              <w:t>ysypání kameniva pro vyrovnání podloží a následná pokládka asfaltového recyklátu na této spojce. Jedná se o 40 - 50 metrů komunikace šířky 3 - 4 metry pro</w:t>
            </w:r>
            <w:r w:rsidR="008E50DF">
              <w:rPr>
                <w:sz w:val="18"/>
                <w:szCs w:val="18"/>
              </w:rPr>
              <w:t xml:space="preserve"> bezproblémový průjezd cyklistů.</w:t>
            </w:r>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sidRPr="00A826DF">
              <w:rPr>
                <w:b/>
                <w:sz w:val="24"/>
                <w:szCs w:val="24"/>
              </w:rPr>
              <w:t xml:space="preserve">PŘEDKLADATEL </w:t>
            </w:r>
            <w:r>
              <w:rPr>
                <w:b/>
                <w:sz w:val="24"/>
                <w:szCs w:val="24"/>
              </w:rPr>
              <w:t>NÁVRHU</w:t>
            </w:r>
            <w:r w:rsidR="001E0C3D">
              <w:rPr>
                <w:b/>
                <w:sz w:val="24"/>
                <w:szCs w:val="24"/>
              </w:rPr>
              <w:t xml:space="preserve"> PROJEKTU</w:t>
            </w:r>
          </w:p>
        </w:tc>
        <w:tc>
          <w:tcPr>
            <w:tcW w:w="5353" w:type="dxa"/>
            <w:shd w:val="clear" w:color="auto" w:fill="FFFFFF" w:themeFill="background1"/>
            <w:tcMar>
              <w:left w:w="103" w:type="dxa"/>
            </w:tcMar>
            <w:vAlign w:val="center"/>
          </w:tcPr>
          <w:p w:rsidR="00A826DF" w:rsidRDefault="008E0DFD" w:rsidP="008D2392">
            <w:pPr>
              <w:jc w:val="center"/>
              <w:rPr>
                <w:b/>
              </w:rPr>
            </w:pPr>
            <w:r w:rsidRPr="00BF02B2">
              <w:rPr>
                <w:b/>
              </w:rPr>
              <w:t>Ing. Vladimír Jaeger</w:t>
            </w:r>
          </w:p>
        </w:tc>
      </w:tr>
      <w:tr w:rsidR="00A826DF" w:rsidTr="003871C7">
        <w:trPr>
          <w:trHeight w:val="777"/>
        </w:trPr>
        <w:tc>
          <w:tcPr>
            <w:tcW w:w="3969" w:type="dxa"/>
            <w:shd w:val="clear" w:color="auto" w:fill="E7E6E6" w:themeFill="background2"/>
            <w:tcMar>
              <w:left w:w="103" w:type="dxa"/>
            </w:tcMar>
            <w:vAlign w:val="center"/>
          </w:tcPr>
          <w:p w:rsidR="00A826DF" w:rsidRPr="00A826DF" w:rsidRDefault="00A826DF" w:rsidP="008D2392">
            <w:pPr>
              <w:spacing w:before="120"/>
              <w:jc w:val="both"/>
              <w:rPr>
                <w:b/>
                <w:sz w:val="24"/>
                <w:szCs w:val="24"/>
              </w:rPr>
            </w:pPr>
            <w:r>
              <w:rPr>
                <w:b/>
                <w:sz w:val="24"/>
                <w:szCs w:val="24"/>
              </w:rPr>
              <w:t>LOKALITA (adresa)</w:t>
            </w:r>
          </w:p>
        </w:tc>
        <w:tc>
          <w:tcPr>
            <w:tcW w:w="5353" w:type="dxa"/>
            <w:shd w:val="clear" w:color="auto" w:fill="FFFFFF" w:themeFill="background1"/>
            <w:tcMar>
              <w:left w:w="103" w:type="dxa"/>
            </w:tcMar>
            <w:vAlign w:val="center"/>
          </w:tcPr>
          <w:p w:rsidR="009A27D7" w:rsidRPr="000D78E0" w:rsidRDefault="009A27D7" w:rsidP="009A27D7">
            <w:pPr>
              <w:autoSpaceDE w:val="0"/>
              <w:autoSpaceDN w:val="0"/>
              <w:adjustRightInd w:val="0"/>
              <w:rPr>
                <w:sz w:val="18"/>
                <w:szCs w:val="18"/>
              </w:rPr>
            </w:pPr>
            <w:r w:rsidRPr="000D78E0">
              <w:rPr>
                <w:sz w:val="18"/>
                <w:szCs w:val="18"/>
              </w:rPr>
              <w:t xml:space="preserve">západní roh </w:t>
            </w:r>
            <w:proofErr w:type="spellStart"/>
            <w:r w:rsidRPr="000D78E0">
              <w:rPr>
                <w:sz w:val="18"/>
                <w:szCs w:val="18"/>
              </w:rPr>
              <w:t>Otvické</w:t>
            </w:r>
            <w:proofErr w:type="spellEnd"/>
            <w:r w:rsidRPr="000D78E0">
              <w:rPr>
                <w:sz w:val="18"/>
                <w:szCs w:val="18"/>
              </w:rPr>
              <w:t xml:space="preserve"> nádrže, spojka mezi cyklotrasou 3077 a 3114.</w:t>
            </w:r>
          </w:p>
          <w:p w:rsidR="00A826DF" w:rsidRPr="009A27D7" w:rsidRDefault="009A27D7" w:rsidP="009A27D7">
            <w:pPr>
              <w:autoSpaceDE w:val="0"/>
              <w:autoSpaceDN w:val="0"/>
              <w:adjustRightInd w:val="0"/>
              <w:rPr>
                <w:rFonts w:ascii="Arial" w:hAnsi="Arial" w:cs="Arial"/>
                <w:sz w:val="18"/>
                <w:szCs w:val="18"/>
                <w:lang w:val="en-US"/>
              </w:rPr>
            </w:pPr>
            <w:r w:rsidRPr="000D78E0">
              <w:rPr>
                <w:sz w:val="18"/>
                <w:szCs w:val="18"/>
              </w:rPr>
              <w:t>50.4734358N, 13.4297119E; 50.4732481N, 13.4293311E</w:t>
            </w:r>
          </w:p>
        </w:tc>
      </w:tr>
      <w:tr w:rsidR="00A826DF" w:rsidTr="003871C7">
        <w:trPr>
          <w:trHeight w:val="777"/>
        </w:trPr>
        <w:tc>
          <w:tcPr>
            <w:tcW w:w="3969" w:type="dxa"/>
            <w:shd w:val="clear" w:color="auto" w:fill="E7E6E6" w:themeFill="background2"/>
            <w:tcMar>
              <w:left w:w="103" w:type="dxa"/>
            </w:tcMar>
            <w:vAlign w:val="center"/>
          </w:tcPr>
          <w:p w:rsidR="00A826DF" w:rsidRDefault="00A826DF" w:rsidP="008D2392">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A826DF" w:rsidRDefault="0087526B" w:rsidP="008D2392">
            <w:pPr>
              <w:jc w:val="center"/>
              <w:rPr>
                <w:b/>
              </w:rPr>
            </w:pPr>
            <w:r>
              <w:rPr>
                <w:b/>
              </w:rPr>
              <w:t>10</w:t>
            </w:r>
            <w:r w:rsidR="00E6731E">
              <w:rPr>
                <w:b/>
              </w:rPr>
              <w:t>0.000 Kč</w:t>
            </w:r>
          </w:p>
        </w:tc>
      </w:tr>
    </w:tbl>
    <w:p w:rsidR="00450EC1" w:rsidRDefault="00450EC1"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5944"/>
        <w:gridCol w:w="992"/>
        <w:gridCol w:w="992"/>
        <w:gridCol w:w="1396"/>
      </w:tblGrid>
      <w:tr w:rsidR="00FF22CD" w:rsidTr="000D78E0">
        <w:tc>
          <w:tcPr>
            <w:tcW w:w="5944"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396" w:type="dxa"/>
            <w:shd w:val="clear" w:color="auto" w:fill="FFFFFF" w:themeFill="background1"/>
          </w:tcPr>
          <w:p w:rsidR="00FF22CD" w:rsidRDefault="00FF22CD" w:rsidP="00FF22CD">
            <w:pPr>
              <w:jc w:val="center"/>
              <w:rPr>
                <w:b/>
              </w:rPr>
            </w:pPr>
            <w:r>
              <w:rPr>
                <w:b/>
              </w:rPr>
              <w:t>poznámky</w:t>
            </w:r>
          </w:p>
        </w:tc>
      </w:tr>
      <w:tr w:rsidR="00FF22CD" w:rsidTr="000D78E0">
        <w:trPr>
          <w:trHeight w:val="597"/>
        </w:trPr>
        <w:tc>
          <w:tcPr>
            <w:tcW w:w="5944"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396" w:type="dxa"/>
            <w:shd w:val="clear" w:color="auto" w:fill="FFFFFF" w:themeFill="background1"/>
            <w:vAlign w:val="center"/>
          </w:tcPr>
          <w:p w:rsidR="00FF22CD" w:rsidRDefault="00FF22CD" w:rsidP="00DE3DAE">
            <w:pPr>
              <w:rPr>
                <w:b/>
              </w:rPr>
            </w:pPr>
          </w:p>
        </w:tc>
      </w:tr>
      <w:tr w:rsidR="00FF22CD" w:rsidTr="000D78E0">
        <w:trPr>
          <w:trHeight w:val="502"/>
        </w:trPr>
        <w:tc>
          <w:tcPr>
            <w:tcW w:w="5944"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396" w:type="dxa"/>
            <w:shd w:val="clear" w:color="auto" w:fill="FFFFFF" w:themeFill="background1"/>
            <w:vAlign w:val="center"/>
          </w:tcPr>
          <w:p w:rsidR="00FF22CD" w:rsidRDefault="00FF22CD" w:rsidP="00DE3DAE">
            <w:pPr>
              <w:rPr>
                <w:b/>
              </w:rPr>
            </w:pPr>
          </w:p>
        </w:tc>
      </w:tr>
    </w:tbl>
    <w:p w:rsidR="004A7A48" w:rsidRDefault="004A7A48"/>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76"/>
        <w:gridCol w:w="978"/>
        <w:gridCol w:w="978"/>
        <w:gridCol w:w="1392"/>
      </w:tblGrid>
      <w:tr w:rsidR="000D78E0" w:rsidTr="000D78E0">
        <w:tc>
          <w:tcPr>
            <w:tcW w:w="5976" w:type="dxa"/>
          </w:tcPr>
          <w:p w:rsidR="000D78E0" w:rsidRDefault="000D78E0" w:rsidP="000807FE">
            <w:pPr>
              <w:jc w:val="both"/>
              <w:rPr>
                <w:b/>
              </w:rPr>
            </w:pPr>
          </w:p>
        </w:tc>
        <w:tc>
          <w:tcPr>
            <w:tcW w:w="978" w:type="dxa"/>
          </w:tcPr>
          <w:p w:rsidR="000D78E0" w:rsidRDefault="000D78E0" w:rsidP="000807FE">
            <w:pPr>
              <w:jc w:val="center"/>
              <w:rPr>
                <w:b/>
              </w:rPr>
            </w:pPr>
            <w:r>
              <w:rPr>
                <w:b/>
              </w:rPr>
              <w:t>ANO</w:t>
            </w:r>
          </w:p>
        </w:tc>
        <w:tc>
          <w:tcPr>
            <w:tcW w:w="978" w:type="dxa"/>
          </w:tcPr>
          <w:p w:rsidR="000D78E0" w:rsidRDefault="000D78E0" w:rsidP="000807FE">
            <w:pPr>
              <w:jc w:val="center"/>
              <w:rPr>
                <w:b/>
              </w:rPr>
            </w:pPr>
            <w:r>
              <w:rPr>
                <w:b/>
              </w:rPr>
              <w:t>NE</w:t>
            </w:r>
          </w:p>
        </w:tc>
        <w:tc>
          <w:tcPr>
            <w:tcW w:w="1392" w:type="dxa"/>
          </w:tcPr>
          <w:p w:rsidR="000D78E0" w:rsidRDefault="000D78E0" w:rsidP="000807FE">
            <w:pPr>
              <w:jc w:val="center"/>
              <w:rPr>
                <w:b/>
              </w:rPr>
            </w:pPr>
            <w:r>
              <w:rPr>
                <w:b/>
              </w:rPr>
              <w:t>poznámky</w:t>
            </w:r>
          </w:p>
        </w:tc>
      </w:tr>
      <w:tr w:rsidR="00FF22CD" w:rsidTr="000D78E0">
        <w:tblPrEx>
          <w:shd w:val="clear" w:color="auto" w:fill="FFFFFF" w:themeFill="background1"/>
          <w:tblCellMar>
            <w:left w:w="103" w:type="dxa"/>
          </w:tblCellMar>
        </w:tblPrEx>
        <w:trPr>
          <w:trHeight w:val="1221"/>
        </w:trPr>
        <w:tc>
          <w:tcPr>
            <w:tcW w:w="597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FF22CD" w:rsidRDefault="00FF22CD" w:rsidP="00DE3DAE">
            <w:pPr>
              <w:rPr>
                <w:b/>
              </w:rPr>
            </w:pPr>
          </w:p>
        </w:tc>
      </w:tr>
      <w:tr w:rsidR="0002137A" w:rsidTr="000D78E0">
        <w:tblPrEx>
          <w:shd w:val="clear" w:color="auto" w:fill="FFFFFF" w:themeFill="background1"/>
          <w:tblCellMar>
            <w:left w:w="103" w:type="dxa"/>
          </w:tblCellMar>
        </w:tblPrEx>
        <w:trPr>
          <w:trHeight w:val="646"/>
        </w:trPr>
        <w:tc>
          <w:tcPr>
            <w:tcW w:w="597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02137A" w:rsidRDefault="0002137A" w:rsidP="00DE3DAE">
            <w:pPr>
              <w:rPr>
                <w:b/>
              </w:rPr>
            </w:pPr>
          </w:p>
        </w:tc>
      </w:tr>
      <w:tr w:rsidR="0002137A" w:rsidTr="000D78E0">
        <w:tblPrEx>
          <w:shd w:val="clear" w:color="auto" w:fill="FFFFFF" w:themeFill="background1"/>
          <w:tblCellMar>
            <w:left w:w="103" w:type="dxa"/>
          </w:tblCellMar>
        </w:tblPrEx>
        <w:trPr>
          <w:trHeight w:val="567"/>
        </w:trPr>
        <w:tc>
          <w:tcPr>
            <w:tcW w:w="597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02137A" w:rsidRDefault="0002137A" w:rsidP="00DE3DAE">
            <w:pPr>
              <w:rPr>
                <w:b/>
              </w:rPr>
            </w:pPr>
          </w:p>
        </w:tc>
      </w:tr>
      <w:tr w:rsidR="0002137A" w:rsidTr="000D78E0">
        <w:tblPrEx>
          <w:shd w:val="clear" w:color="auto" w:fill="FFFFFF" w:themeFill="background1"/>
          <w:tblCellMar>
            <w:left w:w="103" w:type="dxa"/>
          </w:tblCellMar>
        </w:tblPrEx>
        <w:trPr>
          <w:trHeight w:val="678"/>
        </w:trPr>
        <w:tc>
          <w:tcPr>
            <w:tcW w:w="597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02137A" w:rsidRDefault="0002137A" w:rsidP="00DE3DAE">
            <w:pPr>
              <w:rPr>
                <w:b/>
              </w:rPr>
            </w:pPr>
          </w:p>
        </w:tc>
      </w:tr>
      <w:tr w:rsidR="0086367B" w:rsidTr="000D78E0">
        <w:tblPrEx>
          <w:shd w:val="clear" w:color="auto" w:fill="FFFFFF" w:themeFill="background1"/>
          <w:tblCellMar>
            <w:left w:w="103" w:type="dxa"/>
          </w:tblCellMar>
        </w:tblPrEx>
        <w:trPr>
          <w:trHeight w:val="566"/>
        </w:trPr>
        <w:tc>
          <w:tcPr>
            <w:tcW w:w="5976" w:type="dxa"/>
            <w:shd w:val="clear" w:color="auto" w:fill="FFFFFF" w:themeFill="background1"/>
            <w:tcMar>
              <w:left w:w="103" w:type="dxa"/>
            </w:tcMar>
            <w:vAlign w:val="center"/>
          </w:tcPr>
          <w:p w:rsidR="0086367B" w:rsidRDefault="0086367B" w:rsidP="00A75CCE">
            <w:r>
              <w:lastRenderedPageBreak/>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86367B" w:rsidRPr="001F472E" w:rsidRDefault="00E6731E" w:rsidP="00DE3DAE">
            <w:pPr>
              <w:rPr>
                <w:sz w:val="18"/>
                <w:szCs w:val="18"/>
              </w:rPr>
            </w:pPr>
            <w:r w:rsidRPr="001F472E">
              <w:rPr>
                <w:sz w:val="18"/>
                <w:szCs w:val="18"/>
              </w:rPr>
              <w:t>Původně navržené asfaltové provedení bylo zamítnuto, jelikož dle územního plánu se má vedle této spojky budovat zpevněné parkoviště u Kamencového jezera – není tedy jasné, zda by asfaltová spojka byla v souladu s tímto záměrem.</w:t>
            </w:r>
          </w:p>
        </w:tc>
      </w:tr>
      <w:tr w:rsidR="0086367B" w:rsidTr="000D78E0">
        <w:tblPrEx>
          <w:shd w:val="clear" w:color="auto" w:fill="FFFFFF" w:themeFill="background1"/>
          <w:tblCellMar>
            <w:left w:w="103" w:type="dxa"/>
          </w:tblCellMar>
        </w:tblPrEx>
        <w:trPr>
          <w:trHeight w:val="708"/>
        </w:trPr>
        <w:tc>
          <w:tcPr>
            <w:tcW w:w="597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392" w:type="dxa"/>
            <w:shd w:val="clear" w:color="auto" w:fill="FFFFFF" w:themeFill="background1"/>
            <w:vAlign w:val="center"/>
          </w:tcPr>
          <w:p w:rsidR="0086367B" w:rsidRDefault="0086367B" w:rsidP="00DE3DAE">
            <w:pPr>
              <w:rPr>
                <w:b/>
              </w:rPr>
            </w:pPr>
          </w:p>
        </w:tc>
      </w:tr>
      <w:tr w:rsidR="0086367B" w:rsidTr="000D78E0">
        <w:tblPrEx>
          <w:shd w:val="clear" w:color="auto" w:fill="FFFFFF" w:themeFill="background1"/>
          <w:tblCellMar>
            <w:left w:w="103" w:type="dxa"/>
          </w:tblCellMar>
        </w:tblPrEx>
        <w:trPr>
          <w:trHeight w:val="690"/>
        </w:trPr>
        <w:tc>
          <w:tcPr>
            <w:tcW w:w="597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78"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78"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392" w:type="dxa"/>
            <w:shd w:val="clear" w:color="auto" w:fill="FFFFFF" w:themeFill="background1"/>
            <w:vAlign w:val="center"/>
          </w:tcPr>
          <w:p w:rsidR="0086367B" w:rsidRPr="001F472E" w:rsidRDefault="00E6731E" w:rsidP="00DE3DAE">
            <w:pPr>
              <w:rPr>
                <w:sz w:val="18"/>
                <w:szCs w:val="18"/>
              </w:rPr>
            </w:pPr>
            <w:r w:rsidRPr="001F472E">
              <w:rPr>
                <w:sz w:val="18"/>
                <w:szCs w:val="18"/>
              </w:rPr>
              <w:t>7. 3. 2017</w:t>
            </w:r>
          </w:p>
        </w:tc>
      </w:tr>
    </w:tbl>
    <w:p w:rsidR="00683441" w:rsidRDefault="00683441" w:rsidP="00450EC1"/>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3871C7"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3871C7" w:rsidTr="001F472E">
        <w:trPr>
          <w:trHeight w:val="43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sdt>
          <w:sdtPr>
            <w:rPr>
              <w:b/>
            </w:rPr>
            <w:id w:val="23521427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1F472E" w:rsidRDefault="00C25FD7" w:rsidP="00C25FD7">
            <w:pPr>
              <w:rPr>
                <w:sz w:val="18"/>
                <w:szCs w:val="18"/>
              </w:rPr>
            </w:pPr>
            <w:r w:rsidRPr="001F472E">
              <w:rPr>
                <w:sz w:val="18"/>
                <w:szCs w:val="18"/>
              </w:rPr>
              <w:t>Projektový tým ověřil a upravil.</w:t>
            </w:r>
          </w:p>
        </w:tc>
      </w:tr>
      <w:tr w:rsidR="003871C7" w:rsidTr="001F472E">
        <w:trPr>
          <w:trHeight w:val="384"/>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1F472E">
        <w:trPr>
          <w:trHeight w:val="502"/>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1F472E">
        <w:trPr>
          <w:trHeight w:val="418"/>
        </w:trPr>
        <w:tc>
          <w:tcPr>
            <w:tcW w:w="6096" w:type="dxa"/>
            <w:shd w:val="clear" w:color="auto" w:fill="FFFFFF" w:themeFill="background1"/>
            <w:tcMar>
              <w:left w:w="103" w:type="dxa"/>
            </w:tcMar>
            <w:vAlign w:val="center"/>
          </w:tcPr>
          <w:p w:rsidR="003871C7" w:rsidRDefault="003871C7" w:rsidP="001F472E">
            <w:pPr>
              <w:spacing w:after="120"/>
            </w:pPr>
            <w:r>
              <w:t>Nákres řešení</w:t>
            </w:r>
          </w:p>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1F472E">
        <w:trPr>
          <w:trHeight w:val="302"/>
        </w:trPr>
        <w:tc>
          <w:tcPr>
            <w:tcW w:w="6096" w:type="dxa"/>
            <w:shd w:val="clear" w:color="auto" w:fill="FFFFFF" w:themeFill="background1"/>
            <w:tcMar>
              <w:left w:w="103" w:type="dxa"/>
            </w:tcMar>
            <w:vAlign w:val="center"/>
          </w:tcPr>
          <w:p w:rsidR="003871C7" w:rsidRDefault="003871C7" w:rsidP="001F472E">
            <w:r>
              <w:t>Jiné</w:t>
            </w:r>
          </w:p>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bl>
    <w:p w:rsidR="003871C7" w:rsidRDefault="003871C7" w:rsidP="00450EC1"/>
    <w:p w:rsidR="00E91695" w:rsidRPr="008545EA" w:rsidRDefault="00E91695" w:rsidP="00E91695">
      <w:pPr>
        <w:rPr>
          <w:b/>
          <w:sz w:val="28"/>
        </w:rPr>
      </w:pPr>
      <w:r w:rsidRPr="008545EA">
        <w:rPr>
          <w:b/>
          <w:sz w:val="28"/>
        </w:rPr>
        <w:t xml:space="preserve">ZÁVĚR: NÁVRH </w:t>
      </w:r>
      <w:r w:rsidR="000F5227">
        <w:rPr>
          <w:b/>
          <w:sz w:val="28"/>
        </w:rPr>
        <w:t>JE REALIZOVATELNÝ A POSTUPUJE K HLASOVÁNÍ</w:t>
      </w:r>
      <w:r w:rsidRPr="008545EA">
        <w:rPr>
          <w:b/>
          <w:sz w:val="28"/>
        </w:rPr>
        <w:t>.</w:t>
      </w:r>
    </w:p>
    <w:p w:rsidR="001F472E" w:rsidRDefault="001F472E" w:rsidP="0034663E">
      <w:pPr>
        <w:ind w:left="2124" w:hanging="2124"/>
      </w:pPr>
    </w:p>
    <w:p w:rsidR="0034663E" w:rsidRDefault="0034663E" w:rsidP="0034663E">
      <w:pPr>
        <w:ind w:left="2124" w:hanging="2124"/>
      </w:pPr>
      <w:r>
        <w:t>Kontrolu provedla</w:t>
      </w:r>
      <w:r w:rsidR="00F37941">
        <w:t xml:space="preserve">: </w:t>
      </w:r>
      <w:r w:rsidR="00F37941">
        <w:tab/>
        <w:t>Ing. Tereza Rödlingová</w:t>
      </w:r>
      <w:r>
        <w:t xml:space="preserve"> </w:t>
      </w:r>
    </w:p>
    <w:p w:rsidR="00F37941" w:rsidRDefault="0034663E" w:rsidP="00CD547F">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641F4A" w:rsidRDefault="00641F4A" w:rsidP="00450EC1"/>
    <w:p w:rsidR="00F37941" w:rsidRDefault="00F37941" w:rsidP="00CD547F">
      <w:pPr>
        <w:ind w:left="2124" w:hanging="2124"/>
      </w:pPr>
      <w:r>
        <w:lastRenderedPageBreak/>
        <w:t xml:space="preserve">Odbor: </w:t>
      </w:r>
      <w:r>
        <w:tab/>
      </w:r>
      <w:r w:rsidR="00CD547F">
        <w:t>Odbor r</w:t>
      </w:r>
      <w:r>
        <w:t>ozvoje a investic</w:t>
      </w:r>
      <w:r w:rsidR="00CD547F">
        <w:t xml:space="preserve"> – úsek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CD547F" w:rsidRDefault="00AC3C72" w:rsidP="00CD547F">
      <w:pPr>
        <w:ind w:left="2124" w:hanging="2124"/>
      </w:pPr>
      <w:r>
        <w:tab/>
        <w:t>Odbor životního prostředí – veřejná zeleň</w:t>
      </w:r>
      <w:r w:rsidR="00CD547F">
        <w:tab/>
      </w:r>
    </w:p>
    <w:p w:rsidR="00641F4A" w:rsidRDefault="00641F4A" w:rsidP="00450EC1"/>
    <w:p w:rsidR="00F37941" w:rsidRDefault="00F37941" w:rsidP="00450EC1">
      <w:r>
        <w:t xml:space="preserve">Datum a podpis: </w:t>
      </w:r>
      <w:r>
        <w:tab/>
      </w:r>
      <w:r w:rsidR="00B50E9C">
        <w:t>26. 5. 2017 Rödlingová</w:t>
      </w:r>
    </w:p>
    <w:p w:rsidR="003871C7" w:rsidRDefault="003871C7" w:rsidP="00450EC1"/>
    <w:p w:rsidR="003871C7" w:rsidRPr="00450EC1" w:rsidRDefault="003871C7" w:rsidP="00450EC1"/>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0D78E0"/>
    <w:rsid w:val="000F5227"/>
    <w:rsid w:val="001A7237"/>
    <w:rsid w:val="001E0C3D"/>
    <w:rsid w:val="001F472E"/>
    <w:rsid w:val="00236BCC"/>
    <w:rsid w:val="002A5E4B"/>
    <w:rsid w:val="002E05C4"/>
    <w:rsid w:val="0034663E"/>
    <w:rsid w:val="00347E3C"/>
    <w:rsid w:val="003871C7"/>
    <w:rsid w:val="00450EC1"/>
    <w:rsid w:val="004A7A48"/>
    <w:rsid w:val="00523327"/>
    <w:rsid w:val="00601492"/>
    <w:rsid w:val="00641E5A"/>
    <w:rsid w:val="00641F4A"/>
    <w:rsid w:val="00683441"/>
    <w:rsid w:val="006D4399"/>
    <w:rsid w:val="0086367B"/>
    <w:rsid w:val="0087526B"/>
    <w:rsid w:val="008A4794"/>
    <w:rsid w:val="008A537C"/>
    <w:rsid w:val="008D2392"/>
    <w:rsid w:val="008E0DFD"/>
    <w:rsid w:val="008E50DF"/>
    <w:rsid w:val="00995B2F"/>
    <w:rsid w:val="009A27D7"/>
    <w:rsid w:val="009C1779"/>
    <w:rsid w:val="00A70725"/>
    <w:rsid w:val="00A75CCE"/>
    <w:rsid w:val="00A826DF"/>
    <w:rsid w:val="00AC3C72"/>
    <w:rsid w:val="00B50E9C"/>
    <w:rsid w:val="00C25FD7"/>
    <w:rsid w:val="00CD547F"/>
    <w:rsid w:val="00D76485"/>
    <w:rsid w:val="00DE3DAE"/>
    <w:rsid w:val="00E32F29"/>
    <w:rsid w:val="00E6731E"/>
    <w:rsid w:val="00E91695"/>
    <w:rsid w:val="00EA64B3"/>
    <w:rsid w:val="00F14C30"/>
    <w:rsid w:val="00F37941"/>
    <w:rsid w:val="00F710EE"/>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8A5DD-0427-4792-BB3C-AD9EC7B6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2225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2</cp:revision>
  <cp:lastPrinted>2017-01-12T12:08:00Z</cp:lastPrinted>
  <dcterms:created xsi:type="dcterms:W3CDTF">2017-06-05T08:33:00Z</dcterms:created>
  <dcterms:modified xsi:type="dcterms:W3CDTF">2017-06-05T08:33:00Z</dcterms:modified>
</cp:coreProperties>
</file>